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39" w:rsidRPr="00F46F39" w:rsidRDefault="000B6DFD" w:rsidP="00F46F39">
      <w:pPr>
        <w:ind w:left="1170" w:hanging="117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D73474">
        <w:rPr>
          <w:sz w:val="20"/>
          <w:szCs w:val="20"/>
        </w:rPr>
        <w:t>void</w:t>
      </w:r>
      <w:proofErr w:type="gramEnd"/>
      <w:r w:rsidRPr="00D73474">
        <w:rPr>
          <w:sz w:val="20"/>
          <w:szCs w:val="20"/>
        </w:rPr>
        <w:t xml:space="preserve"> setup() </w:t>
      </w:r>
      <w:r w:rsidR="00F46F39">
        <w:rPr>
          <w:sz w:val="20"/>
          <w:szCs w:val="20"/>
        </w:rPr>
        <w:t xml:space="preserve"> </w:t>
      </w:r>
      <w:r w:rsidR="00F46F39" w:rsidRPr="00F46F39">
        <w:rPr>
          <w:sz w:val="20"/>
          <w:szCs w:val="20"/>
        </w:rPr>
        <w:sym w:font="Wingdings" w:char="F0DF"/>
      </w:r>
      <w:r w:rsidR="00F46F39">
        <w:rPr>
          <w:sz w:val="20"/>
          <w:szCs w:val="20"/>
        </w:rPr>
        <w:t xml:space="preserve"> 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The </w:t>
      </w:r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setup()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 xml:space="preserve"> function is called once when the program starts. It's used to define initial </w:t>
      </w:r>
      <w:proofErr w:type="spellStart"/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enviroment</w:t>
      </w:r>
      <w:proofErr w:type="spellEnd"/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 xml:space="preserve"> properties such as screen size and background color and to load media such as images and fonts as the program starts. There can only be one </w:t>
      </w:r>
      <w:proofErr w:type="gramStart"/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setup(</w:t>
      </w:r>
      <w:proofErr w:type="gramEnd"/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)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 function for each program and it shouldn't be called again after its initial execution. Note: Variables declared within </w:t>
      </w:r>
      <w:proofErr w:type="gramStart"/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setup(</w:t>
      </w:r>
      <w:proofErr w:type="gramEnd"/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)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 are not accessible within other functions, including </w:t>
      </w:r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draw()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.</w:t>
      </w:r>
    </w:p>
    <w:p w:rsidR="00F46F39" w:rsidRDefault="00F46F39" w:rsidP="000B6DFD">
      <w:pPr>
        <w:rPr>
          <w:sz w:val="20"/>
          <w:szCs w:val="20"/>
        </w:rPr>
      </w:pPr>
    </w:p>
    <w:p w:rsidR="000B6DFD" w:rsidRPr="00D73474" w:rsidRDefault="000B6DFD" w:rsidP="000B6DFD">
      <w:pPr>
        <w:rPr>
          <w:sz w:val="20"/>
          <w:szCs w:val="20"/>
        </w:rPr>
      </w:pPr>
      <w:r w:rsidRPr="00D73474">
        <w:rPr>
          <w:sz w:val="20"/>
          <w:szCs w:val="20"/>
        </w:rPr>
        <w:t>{</w:t>
      </w:r>
    </w:p>
    <w:p w:rsidR="00F46F39" w:rsidRPr="00F46F39" w:rsidRDefault="000B6DFD" w:rsidP="00F46F39">
      <w:pPr>
        <w:ind w:left="1440" w:hanging="1440"/>
        <w:rPr>
          <w:rFonts w:ascii="Times" w:eastAsia="Times New Roman" w:hAnsi="Times" w:cs="Times New Roman"/>
          <w:sz w:val="20"/>
          <w:szCs w:val="20"/>
        </w:rPr>
      </w:pPr>
      <w:r w:rsidRPr="00D73474">
        <w:rPr>
          <w:sz w:val="20"/>
          <w:szCs w:val="20"/>
        </w:rPr>
        <w:t xml:space="preserve">  </w:t>
      </w:r>
      <w:proofErr w:type="gramStart"/>
      <w:r w:rsidRPr="00D73474">
        <w:rPr>
          <w:sz w:val="20"/>
          <w:szCs w:val="20"/>
        </w:rPr>
        <w:t>size</w:t>
      </w:r>
      <w:proofErr w:type="gramEnd"/>
      <w:r w:rsidRPr="00D73474">
        <w:rPr>
          <w:sz w:val="20"/>
          <w:szCs w:val="20"/>
        </w:rPr>
        <w:t xml:space="preserve">(720, 720);  </w:t>
      </w:r>
      <w:r w:rsidR="00F46F39">
        <w:rPr>
          <w:sz w:val="20"/>
          <w:szCs w:val="20"/>
        </w:rPr>
        <w:t xml:space="preserve">  </w:t>
      </w:r>
      <w:r w:rsidRPr="00D73474">
        <w:rPr>
          <w:sz w:val="20"/>
          <w:szCs w:val="20"/>
        </w:rPr>
        <w:sym w:font="Wingdings" w:char="F0DF"/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 xml:space="preserve"> Defines the dimension of the display window in units of pixels. The </w:t>
      </w:r>
      <w:proofErr w:type="gramStart"/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size(</w:t>
      </w:r>
      <w:proofErr w:type="gramEnd"/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)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 function must be the first line of code, or the first code inside </w:t>
      </w:r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setup()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. Any code that appears before the </w:t>
      </w:r>
      <w:proofErr w:type="gramStart"/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size(</w:t>
      </w:r>
      <w:proofErr w:type="gramEnd"/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)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 command may run more than once, which can lead to confusing results.</w:t>
      </w:r>
      <w:r w:rsidR="00F46F39">
        <w:rPr>
          <w:rFonts w:ascii="Georgia" w:eastAsia="Times New Roman" w:hAnsi="Georgia" w:cs="Times New Roman"/>
          <w:color w:val="252525"/>
          <w:sz w:val="19"/>
          <w:szCs w:val="19"/>
        </w:rPr>
        <w:t xml:space="preserve"> 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The system variables </w:t>
      </w:r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width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 and </w:t>
      </w:r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height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 are set by the parameters passed to this function. If </w:t>
      </w:r>
      <w:proofErr w:type="gramStart"/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size(</w:t>
      </w:r>
      <w:proofErr w:type="gramEnd"/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)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 is not used, the window will be given a default size of 100x100 pixels. </w:t>
      </w:r>
      <w:r w:rsidR="00F46F39">
        <w:rPr>
          <w:rFonts w:ascii="Georgia" w:eastAsia="Times New Roman" w:hAnsi="Georgia" w:cs="Times New Roman"/>
          <w:color w:val="252525"/>
          <w:sz w:val="19"/>
          <w:szCs w:val="19"/>
        </w:rPr>
        <w:t xml:space="preserve"> 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The </w:t>
      </w:r>
      <w:proofErr w:type="gramStart"/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size(</w:t>
      </w:r>
      <w:proofErr w:type="gramEnd"/>
      <w:r w:rsidR="00F46F39" w:rsidRPr="00F46F39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)</w:t>
      </w:r>
      <w:r w:rsidR="00F46F39" w:rsidRPr="00F46F39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 function can only be used once inside a sketch, and it cannot be used for resizing.</w:t>
      </w:r>
    </w:p>
    <w:p w:rsidR="000B6DFD" w:rsidRPr="00D73474" w:rsidRDefault="000B6DFD" w:rsidP="000B6DFD">
      <w:pPr>
        <w:rPr>
          <w:sz w:val="20"/>
          <w:szCs w:val="20"/>
        </w:rPr>
      </w:pPr>
    </w:p>
    <w:p w:rsidR="000B6DFD" w:rsidRPr="00D73474" w:rsidRDefault="000B6DFD" w:rsidP="000B6DFD">
      <w:pPr>
        <w:rPr>
          <w:sz w:val="20"/>
          <w:szCs w:val="20"/>
        </w:rPr>
      </w:pPr>
      <w:r w:rsidRPr="00D73474">
        <w:rPr>
          <w:sz w:val="20"/>
          <w:szCs w:val="20"/>
        </w:rPr>
        <w:t xml:space="preserve">  </w:t>
      </w:r>
      <w:proofErr w:type="spellStart"/>
      <w:proofErr w:type="gramStart"/>
      <w:r w:rsidRPr="00D73474">
        <w:rPr>
          <w:sz w:val="20"/>
          <w:szCs w:val="20"/>
        </w:rPr>
        <w:t>noCursor</w:t>
      </w:r>
      <w:proofErr w:type="spellEnd"/>
      <w:proofErr w:type="gramEnd"/>
      <w:r w:rsidRPr="00D73474">
        <w:rPr>
          <w:sz w:val="20"/>
          <w:szCs w:val="20"/>
        </w:rPr>
        <w:t>();</w:t>
      </w:r>
      <w:r w:rsidR="00601B8C" w:rsidRPr="00D73474">
        <w:rPr>
          <w:sz w:val="20"/>
          <w:szCs w:val="20"/>
        </w:rPr>
        <w:t xml:space="preserve">                       </w:t>
      </w:r>
      <w:r w:rsidR="00601B8C" w:rsidRPr="00D73474">
        <w:rPr>
          <w:sz w:val="20"/>
          <w:szCs w:val="20"/>
        </w:rPr>
        <w:sym w:font="Wingdings" w:char="F0DF"/>
      </w:r>
      <w:r w:rsidR="00601B8C" w:rsidRPr="00D73474">
        <w:rPr>
          <w:sz w:val="20"/>
          <w:szCs w:val="20"/>
        </w:rPr>
        <w:t xml:space="preserve">Removes cursor from </w:t>
      </w:r>
      <w:r w:rsidR="00F46F39">
        <w:rPr>
          <w:sz w:val="20"/>
          <w:szCs w:val="20"/>
        </w:rPr>
        <w:t xml:space="preserve">display </w:t>
      </w:r>
      <w:bookmarkStart w:id="0" w:name="_GoBack"/>
      <w:bookmarkEnd w:id="0"/>
      <w:r w:rsidR="00601B8C" w:rsidRPr="00D73474">
        <w:rPr>
          <w:sz w:val="20"/>
          <w:szCs w:val="20"/>
        </w:rPr>
        <w:t>window</w:t>
      </w:r>
    </w:p>
    <w:p w:rsidR="000B6DFD" w:rsidRPr="00D73474" w:rsidRDefault="000B6DFD" w:rsidP="000B6DFD">
      <w:pPr>
        <w:rPr>
          <w:sz w:val="20"/>
          <w:szCs w:val="20"/>
        </w:rPr>
      </w:pPr>
      <w:r w:rsidRPr="00D73474">
        <w:rPr>
          <w:sz w:val="20"/>
          <w:szCs w:val="20"/>
        </w:rPr>
        <w:t>}</w:t>
      </w:r>
    </w:p>
    <w:p w:rsidR="000B6DFD" w:rsidRPr="00D73474" w:rsidRDefault="000B6DFD" w:rsidP="000B6DFD">
      <w:pPr>
        <w:rPr>
          <w:sz w:val="20"/>
          <w:szCs w:val="20"/>
        </w:rPr>
      </w:pPr>
    </w:p>
    <w:p w:rsidR="00851566" w:rsidRDefault="000B6DFD" w:rsidP="000B6DFD">
      <w:pPr>
        <w:rPr>
          <w:sz w:val="20"/>
          <w:szCs w:val="20"/>
        </w:rPr>
      </w:pPr>
      <w:proofErr w:type="gramStart"/>
      <w:r w:rsidRPr="00D73474">
        <w:rPr>
          <w:sz w:val="20"/>
          <w:szCs w:val="20"/>
        </w:rPr>
        <w:t>void</w:t>
      </w:r>
      <w:proofErr w:type="gramEnd"/>
      <w:r w:rsidRPr="00D73474">
        <w:rPr>
          <w:sz w:val="20"/>
          <w:szCs w:val="20"/>
        </w:rPr>
        <w:t xml:space="preserve"> draw() {</w:t>
      </w:r>
    </w:p>
    <w:p w:rsidR="000B6DFD" w:rsidRPr="00D73474" w:rsidRDefault="00601B8C" w:rsidP="000B6DFD">
      <w:pPr>
        <w:rPr>
          <w:sz w:val="20"/>
          <w:szCs w:val="20"/>
        </w:rPr>
      </w:pPr>
      <w:r w:rsidRPr="00D73474">
        <w:rPr>
          <w:sz w:val="20"/>
          <w:szCs w:val="20"/>
        </w:rPr>
        <w:t xml:space="preserve"> </w:t>
      </w:r>
    </w:p>
    <w:p w:rsidR="000B6DFD" w:rsidRPr="00D73474" w:rsidRDefault="000B6DFD" w:rsidP="00D73474">
      <w:pPr>
        <w:ind w:left="2790" w:hanging="2790"/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</w:pPr>
      <w:proofErr w:type="spellStart"/>
      <w:proofErr w:type="gramStart"/>
      <w:r w:rsidRPr="00D73474">
        <w:rPr>
          <w:sz w:val="20"/>
          <w:szCs w:val="20"/>
        </w:rPr>
        <w:t>colorMode</w:t>
      </w:r>
      <w:proofErr w:type="spellEnd"/>
      <w:proofErr w:type="gramEnd"/>
      <w:r w:rsidRPr="00D73474">
        <w:rPr>
          <w:sz w:val="20"/>
          <w:szCs w:val="20"/>
        </w:rPr>
        <w:t>(HSB, 360, 100, 100);</w:t>
      </w:r>
      <w:r w:rsidR="00ED1159" w:rsidRPr="00D73474">
        <w:rPr>
          <w:sz w:val="20"/>
          <w:szCs w:val="20"/>
        </w:rPr>
        <w:t xml:space="preserve">  </w:t>
      </w:r>
      <w:r w:rsidR="00601B8C" w:rsidRPr="00D73474">
        <w:rPr>
          <w:sz w:val="20"/>
          <w:szCs w:val="20"/>
        </w:rPr>
        <w:sym w:font="Wingdings" w:char="F0DF"/>
      </w:r>
      <w:r w:rsidR="00ED1159" w:rsidRPr="00D73474">
        <w:rPr>
          <w:sz w:val="20"/>
          <w:szCs w:val="20"/>
        </w:rPr>
        <w:t xml:space="preserve"> </w:t>
      </w:r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Changes the way Processing interprets color data. By default, the parameters for </w:t>
      </w:r>
      <w:proofErr w:type="gramStart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fill(</w:t>
      </w:r>
      <w:proofErr w:type="gramEnd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)</w:t>
      </w:r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, </w:t>
      </w:r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stroke()</w:t>
      </w:r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 xml:space="preserve">, </w:t>
      </w:r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background()</w:t>
      </w:r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, and </w:t>
      </w:r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color()</w:t>
      </w:r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 xml:space="preserve"> are defined by values between 0 and 255 using the RGB color model. </w:t>
      </w:r>
      <w:proofErr w:type="spellStart"/>
      <w:proofErr w:type="gramStart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colorMode</w:t>
      </w:r>
      <w:proofErr w:type="spellEnd"/>
      <w:proofErr w:type="gramEnd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()</w:t>
      </w:r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 function is used to change the numerical range used for specifying colors and to switch color systems. For example, calling </w:t>
      </w:r>
      <w:proofErr w:type="spellStart"/>
      <w:proofErr w:type="gramStart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colorMode</w:t>
      </w:r>
      <w:proofErr w:type="spellEnd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(</w:t>
      </w:r>
      <w:proofErr w:type="gramEnd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HSB, 360,100,100)</w:t>
      </w:r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 xml:space="preserve"> will specify that values are specified between 0 and 1. </w:t>
      </w:r>
    </w:p>
    <w:p w:rsidR="00ED1159" w:rsidRPr="00D73474" w:rsidRDefault="00ED1159" w:rsidP="00D73474">
      <w:pPr>
        <w:ind w:left="2790" w:hanging="2790"/>
        <w:rPr>
          <w:sz w:val="20"/>
          <w:szCs w:val="20"/>
        </w:rPr>
      </w:pPr>
    </w:p>
    <w:p w:rsidR="000B6DFD" w:rsidRPr="00D73474" w:rsidRDefault="000B6DFD" w:rsidP="00D73474">
      <w:pPr>
        <w:tabs>
          <w:tab w:val="left" w:pos="180"/>
        </w:tabs>
        <w:ind w:left="1890" w:hanging="1890"/>
        <w:rPr>
          <w:rFonts w:ascii="Times" w:eastAsia="Times New Roman" w:hAnsi="Times" w:cs="Times New Roman"/>
          <w:sz w:val="20"/>
          <w:szCs w:val="20"/>
        </w:rPr>
      </w:pPr>
      <w:r w:rsidRPr="00D73474">
        <w:rPr>
          <w:sz w:val="20"/>
          <w:szCs w:val="20"/>
        </w:rPr>
        <w:t xml:space="preserve">  </w:t>
      </w:r>
      <w:proofErr w:type="spellStart"/>
      <w:proofErr w:type="gramStart"/>
      <w:r w:rsidRPr="00D73474">
        <w:rPr>
          <w:sz w:val="20"/>
          <w:szCs w:val="20"/>
        </w:rPr>
        <w:t>rectMode</w:t>
      </w:r>
      <w:proofErr w:type="spellEnd"/>
      <w:proofErr w:type="gramEnd"/>
      <w:r w:rsidRPr="00D73474">
        <w:rPr>
          <w:sz w:val="20"/>
          <w:szCs w:val="20"/>
        </w:rPr>
        <w:t xml:space="preserve">(CENTER); </w:t>
      </w:r>
      <w:r w:rsidR="00ED1159" w:rsidRPr="00D73474">
        <w:rPr>
          <w:sz w:val="20"/>
          <w:szCs w:val="20"/>
        </w:rPr>
        <w:t xml:space="preserve">  </w:t>
      </w:r>
      <w:r w:rsidR="00ED1159" w:rsidRPr="00D73474">
        <w:rPr>
          <w:sz w:val="20"/>
          <w:szCs w:val="20"/>
        </w:rPr>
        <w:sym w:font="Wingdings" w:char="F0DF"/>
      </w:r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Modifies the location from which rectangles are drawn by changing the way in which parameters given to </w:t>
      </w:r>
      <w:proofErr w:type="spellStart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rect</w:t>
      </w:r>
      <w:proofErr w:type="spellEnd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()</w:t>
      </w:r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 xml:space="preserve"> are </w:t>
      </w:r>
      <w:proofErr w:type="spellStart"/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intepreted</w:t>
      </w:r>
      <w:proofErr w:type="spellEnd"/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rectMode</w:t>
      </w:r>
      <w:proofErr w:type="spellEnd"/>
      <w:proofErr w:type="gramEnd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(CENTER)</w:t>
      </w:r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 interprets the first two parameters of </w:t>
      </w:r>
      <w:proofErr w:type="spellStart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rect</w:t>
      </w:r>
      <w:proofErr w:type="spellEnd"/>
      <w:r w:rsidR="00ED1159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()</w:t>
      </w:r>
      <w:r w:rsidR="00ED1159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 as the shape's center point, while the third and fourth parameters are its width and height. The parameter must be written in ALL CAPS</w:t>
      </w:r>
    </w:p>
    <w:p w:rsidR="00D73474" w:rsidRDefault="000B6DFD" w:rsidP="00D73474">
      <w:pPr>
        <w:rPr>
          <w:sz w:val="20"/>
          <w:szCs w:val="20"/>
        </w:rPr>
      </w:pPr>
      <w:r w:rsidRPr="00D73474">
        <w:rPr>
          <w:sz w:val="20"/>
          <w:szCs w:val="20"/>
        </w:rPr>
        <w:t xml:space="preserve">  </w:t>
      </w:r>
      <w:proofErr w:type="spellStart"/>
      <w:proofErr w:type="gramStart"/>
      <w:r w:rsidRPr="00D73474">
        <w:rPr>
          <w:sz w:val="20"/>
          <w:szCs w:val="20"/>
        </w:rPr>
        <w:t>noStroke</w:t>
      </w:r>
      <w:proofErr w:type="spellEnd"/>
      <w:proofErr w:type="gramEnd"/>
      <w:r w:rsidRPr="00D73474">
        <w:rPr>
          <w:sz w:val="20"/>
          <w:szCs w:val="20"/>
        </w:rPr>
        <w:t>();</w:t>
      </w:r>
    </w:p>
    <w:p w:rsidR="00495872" w:rsidRPr="00D73474" w:rsidRDefault="00D73474" w:rsidP="00D73474">
      <w:pPr>
        <w:ind w:left="3150" w:hanging="315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0B6DFD" w:rsidRPr="00D73474">
        <w:rPr>
          <w:sz w:val="20"/>
          <w:szCs w:val="20"/>
        </w:rPr>
        <w:t>background</w:t>
      </w:r>
      <w:proofErr w:type="gramEnd"/>
      <w:r w:rsidR="000B6DFD" w:rsidRPr="00D73474">
        <w:rPr>
          <w:sz w:val="20"/>
          <w:szCs w:val="20"/>
        </w:rPr>
        <w:t>(</w:t>
      </w:r>
      <w:proofErr w:type="spellStart"/>
      <w:r w:rsidR="000B6DFD" w:rsidRPr="00D73474">
        <w:rPr>
          <w:sz w:val="20"/>
          <w:szCs w:val="20"/>
        </w:rPr>
        <w:t>mouseY</w:t>
      </w:r>
      <w:proofErr w:type="spellEnd"/>
      <w:r w:rsidR="000B6DFD" w:rsidRPr="00D73474">
        <w:rPr>
          <w:sz w:val="20"/>
          <w:szCs w:val="20"/>
        </w:rPr>
        <w:t>/2, 100, 100);</w:t>
      </w:r>
      <w:r w:rsidR="00495872" w:rsidRPr="00D73474">
        <w:rPr>
          <w:sz w:val="20"/>
          <w:szCs w:val="20"/>
        </w:rPr>
        <w:t xml:space="preserve">  </w:t>
      </w:r>
      <w:r w:rsidR="00495872" w:rsidRPr="00D73474">
        <w:rPr>
          <w:sz w:val="20"/>
          <w:szCs w:val="20"/>
        </w:rPr>
        <w:sym w:font="Wingdings" w:char="F0DF"/>
      </w:r>
      <w:r w:rsidR="00495872" w:rsidRPr="00D73474">
        <w:rPr>
          <w:sz w:val="20"/>
          <w:szCs w:val="20"/>
        </w:rPr>
        <w:t xml:space="preserve"> </w:t>
      </w:r>
      <w:r w:rsidR="00495872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The </w:t>
      </w:r>
      <w:r w:rsidR="00495872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background()</w:t>
      </w:r>
      <w:r w:rsidR="00495872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 function sets the color used for the background of the Processing window. The default background is light gray. This function is typically used within </w:t>
      </w:r>
      <w:proofErr w:type="gramStart"/>
      <w:r w:rsidR="00495872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draw(</w:t>
      </w:r>
      <w:proofErr w:type="gramEnd"/>
      <w:r w:rsidR="00495872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)</w:t>
      </w:r>
      <w:r w:rsidR="00495872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 to clear the display window at the beginning of each frame, but it can be used inside </w:t>
      </w:r>
      <w:r w:rsidR="00495872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setup()</w:t>
      </w:r>
      <w:r w:rsidR="00495872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 xml:space="preserve"> to set the background on the first frame of animation or if the </w:t>
      </w:r>
      <w:proofErr w:type="spellStart"/>
      <w:r w:rsidR="00495872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backgound</w:t>
      </w:r>
      <w:proofErr w:type="spellEnd"/>
      <w:r w:rsidR="00495872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 xml:space="preserve"> need only be set once. </w:t>
      </w:r>
    </w:p>
    <w:p w:rsidR="000B6DFD" w:rsidRPr="00D73474" w:rsidRDefault="000B6DFD" w:rsidP="000B6DFD">
      <w:pPr>
        <w:rPr>
          <w:sz w:val="20"/>
          <w:szCs w:val="20"/>
        </w:rPr>
      </w:pPr>
    </w:p>
    <w:p w:rsidR="00D73474" w:rsidRPr="00D73474" w:rsidRDefault="000B6DFD" w:rsidP="00D73474">
      <w:pPr>
        <w:ind w:left="2880" w:hanging="2880"/>
        <w:rPr>
          <w:rFonts w:ascii="Times" w:eastAsia="Times New Roman" w:hAnsi="Times" w:cs="Times New Roman"/>
          <w:sz w:val="20"/>
          <w:szCs w:val="20"/>
        </w:rPr>
      </w:pPr>
      <w:r w:rsidRPr="00D73474">
        <w:rPr>
          <w:sz w:val="20"/>
          <w:szCs w:val="20"/>
        </w:rPr>
        <w:t xml:space="preserve">  </w:t>
      </w:r>
      <w:proofErr w:type="gramStart"/>
      <w:r w:rsidRPr="00D73474">
        <w:rPr>
          <w:sz w:val="20"/>
          <w:szCs w:val="20"/>
        </w:rPr>
        <w:t>fill</w:t>
      </w:r>
      <w:proofErr w:type="gramEnd"/>
      <w:r w:rsidRPr="00D73474">
        <w:rPr>
          <w:sz w:val="20"/>
          <w:szCs w:val="20"/>
        </w:rPr>
        <w:t>(360-mouseY/2, 100, 100);</w:t>
      </w:r>
      <w:r w:rsidR="00D73474" w:rsidRPr="00D73474">
        <w:rPr>
          <w:sz w:val="20"/>
          <w:szCs w:val="20"/>
        </w:rPr>
        <w:t xml:space="preserve">   </w:t>
      </w:r>
      <w:r w:rsidR="00D73474" w:rsidRPr="00D73474">
        <w:rPr>
          <w:sz w:val="20"/>
          <w:szCs w:val="20"/>
        </w:rPr>
        <w:sym w:font="Wingdings" w:char="F0DF"/>
      </w:r>
      <w:r w:rsidR="00D73474" w:rsidRPr="00D73474">
        <w:rPr>
          <w:sz w:val="20"/>
          <w:szCs w:val="20"/>
        </w:rPr>
        <w:t xml:space="preserve"> </w:t>
      </w:r>
      <w:r w:rsidR="00D73474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Sets the color used to fill shapes. For example, if you run </w:t>
      </w:r>
      <w:proofErr w:type="gramStart"/>
      <w:r w:rsidR="00D73474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fill(</w:t>
      </w:r>
      <w:proofErr w:type="gramEnd"/>
      <w:r w:rsidR="00D73474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204, 102, 0)</w:t>
      </w:r>
      <w:r w:rsidR="00D73474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, all subsequent shapes will be filled with orange. This color is either specified in terms of the RGB or HSB color depending on the current </w:t>
      </w:r>
      <w:proofErr w:type="spellStart"/>
      <w:proofErr w:type="gramStart"/>
      <w:r w:rsidR="00D73474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colorMode</w:t>
      </w:r>
      <w:proofErr w:type="spellEnd"/>
      <w:r w:rsidR="00D73474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(</w:t>
      </w:r>
      <w:proofErr w:type="gramEnd"/>
      <w:r w:rsidR="00D73474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)</w:t>
      </w:r>
      <w:r w:rsidR="00D73474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. (The default color space is RGB, with each value in the range from 0 to 255.) </w:t>
      </w:r>
    </w:p>
    <w:p w:rsidR="000B6DFD" w:rsidRPr="00D73474" w:rsidRDefault="000B6DFD" w:rsidP="000B6DFD">
      <w:pPr>
        <w:rPr>
          <w:sz w:val="20"/>
          <w:szCs w:val="20"/>
        </w:rPr>
      </w:pPr>
    </w:p>
    <w:p w:rsidR="000B6DFD" w:rsidRPr="00851566" w:rsidRDefault="000B6DFD" w:rsidP="00851566">
      <w:pPr>
        <w:ind w:left="3420" w:hanging="3510"/>
        <w:rPr>
          <w:rFonts w:ascii="Times" w:eastAsia="Times New Roman" w:hAnsi="Times" w:cs="Times New Roman"/>
          <w:sz w:val="20"/>
          <w:szCs w:val="20"/>
        </w:rPr>
      </w:pPr>
      <w:r w:rsidRPr="00D73474">
        <w:rPr>
          <w:sz w:val="20"/>
          <w:szCs w:val="20"/>
        </w:rPr>
        <w:t xml:space="preserve">  </w:t>
      </w:r>
      <w:proofErr w:type="spellStart"/>
      <w:proofErr w:type="gramStart"/>
      <w:r w:rsidRPr="00D73474">
        <w:rPr>
          <w:sz w:val="20"/>
          <w:szCs w:val="20"/>
        </w:rPr>
        <w:t>rect</w:t>
      </w:r>
      <w:proofErr w:type="spellEnd"/>
      <w:proofErr w:type="gramEnd"/>
      <w:r w:rsidRPr="00D73474">
        <w:rPr>
          <w:sz w:val="20"/>
          <w:szCs w:val="20"/>
        </w:rPr>
        <w:t>(360, 360, mouseX+1, mouseX+1);</w:t>
      </w:r>
      <w:r w:rsidR="00D73474">
        <w:rPr>
          <w:sz w:val="20"/>
          <w:szCs w:val="20"/>
        </w:rPr>
        <w:t xml:space="preserve"> </w:t>
      </w:r>
      <w:r w:rsidR="00601B8C" w:rsidRPr="00D73474">
        <w:rPr>
          <w:sz w:val="20"/>
          <w:szCs w:val="20"/>
        </w:rPr>
        <w:t xml:space="preserve"> </w:t>
      </w:r>
      <w:r w:rsidR="00601B8C" w:rsidRPr="00D73474">
        <w:rPr>
          <w:sz w:val="20"/>
          <w:szCs w:val="20"/>
        </w:rPr>
        <w:sym w:font="Wingdings" w:char="F0DF"/>
      </w:r>
      <w:r w:rsidR="00601B8C" w:rsidRPr="00D73474">
        <w:rPr>
          <w:sz w:val="20"/>
          <w:szCs w:val="20"/>
        </w:rPr>
        <w:t xml:space="preserve"> </w:t>
      </w:r>
      <w:r w:rsidR="00601B8C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 xml:space="preserve">Draws a rectangle to the screen. A rectangle is a four-sided shape with every angle at ninety degrees. By default, the first two parameters set the location of the upper-left corner, the third sets the width, and the fourth sets the </w:t>
      </w:r>
      <w:r w:rsidR="00601B8C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lastRenderedPageBreak/>
        <w:t>height. The way these parameters are interprete</w:t>
      </w:r>
      <w:r w:rsid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 xml:space="preserve">d, however, may be changed with </w:t>
      </w:r>
      <w:r w:rsidR="00601B8C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the </w:t>
      </w:r>
      <w:proofErr w:type="spellStart"/>
      <w:proofErr w:type="gramStart"/>
      <w:r w:rsidR="00601B8C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rectMode</w:t>
      </w:r>
      <w:proofErr w:type="spellEnd"/>
      <w:r w:rsidR="00601B8C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(</w:t>
      </w:r>
      <w:proofErr w:type="gramEnd"/>
      <w:r w:rsidR="00601B8C" w:rsidRPr="00D73474">
        <w:rPr>
          <w:rFonts w:ascii="Monaco" w:eastAsia="Times New Roman" w:hAnsi="Monaco" w:cs="Times New Roman"/>
          <w:color w:val="252525"/>
          <w:sz w:val="20"/>
          <w:szCs w:val="20"/>
          <w:shd w:val="clear" w:color="auto" w:fill="FFFFFF"/>
        </w:rPr>
        <w:t>)</w:t>
      </w:r>
      <w:r w:rsidR="00601B8C" w:rsidRPr="00D73474">
        <w:rPr>
          <w:rFonts w:ascii="Georgia" w:eastAsia="Times New Roman" w:hAnsi="Georgia" w:cs="Times New Roman"/>
          <w:color w:val="252525"/>
          <w:sz w:val="20"/>
          <w:szCs w:val="20"/>
          <w:shd w:val="clear" w:color="auto" w:fill="FFFFFF"/>
        </w:rPr>
        <w:t> function.</w:t>
      </w:r>
    </w:p>
    <w:p w:rsidR="000B6DFD" w:rsidRPr="00D73474" w:rsidRDefault="000B6DFD" w:rsidP="000B6DFD">
      <w:pPr>
        <w:rPr>
          <w:sz w:val="20"/>
          <w:szCs w:val="20"/>
        </w:rPr>
      </w:pPr>
    </w:p>
    <w:p w:rsidR="000B6DFD" w:rsidRPr="00D73474" w:rsidRDefault="000B6DFD" w:rsidP="000B6DFD">
      <w:pPr>
        <w:rPr>
          <w:sz w:val="20"/>
          <w:szCs w:val="20"/>
        </w:rPr>
      </w:pPr>
    </w:p>
    <w:p w:rsidR="004A57F7" w:rsidRPr="00D73474" w:rsidRDefault="004A57F7">
      <w:pPr>
        <w:rPr>
          <w:sz w:val="20"/>
          <w:szCs w:val="20"/>
        </w:rPr>
      </w:pPr>
    </w:p>
    <w:sectPr w:rsidR="004A57F7" w:rsidRPr="00D73474" w:rsidSect="004A5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FD"/>
    <w:rsid w:val="000B6DFD"/>
    <w:rsid w:val="002E69E8"/>
    <w:rsid w:val="00495872"/>
    <w:rsid w:val="004A57F7"/>
    <w:rsid w:val="00601B8C"/>
    <w:rsid w:val="00851566"/>
    <w:rsid w:val="00D73474"/>
    <w:rsid w:val="00ED1159"/>
    <w:rsid w:val="00F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19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1B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453</Words>
  <Characters>2586</Characters>
  <Application>Microsoft Macintosh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Nopalgirl</dc:creator>
  <cp:keywords/>
  <dc:description/>
  <cp:lastModifiedBy>Nopalgirl</cp:lastModifiedBy>
  <cp:revision>1</cp:revision>
  <dcterms:created xsi:type="dcterms:W3CDTF">2015-03-10T14:48:00Z</dcterms:created>
  <dcterms:modified xsi:type="dcterms:W3CDTF">2015-03-10T16:31:00Z</dcterms:modified>
</cp:coreProperties>
</file>